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192E" w:rsidP="177232A2" w:rsidRDefault="0724C946" w14:paraId="6DDB64AD" w14:textId="32588B35">
      <w:pPr>
        <w:spacing w:line="360" w:lineRule="auto"/>
        <w:jc w:val="center"/>
        <w:rPr>
          <w:rFonts w:ascii="Arial" w:hAnsi="Arial" w:eastAsia="Arial" w:cs="Arial"/>
          <w:b w:val="1"/>
          <w:bCs w:val="1"/>
          <w:color w:val="000000" w:themeColor="text1"/>
          <w:sz w:val="28"/>
          <w:szCs w:val="28"/>
        </w:rPr>
      </w:pP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>[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>Facility Name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 xml:space="preserve">] 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 xml:space="preserve">invests in 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 xml:space="preserve">software to 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 xml:space="preserve">identify and manage 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 xml:space="preserve">patients at 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 xml:space="preserve">high risk of developing 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>breast cancer</w:t>
      </w:r>
    </w:p>
    <w:p w:rsidR="0071192E" w:rsidP="516FD02C" w:rsidRDefault="0724C946" w14:paraId="071E9233" w14:textId="38BFC3F9">
      <w:pPr>
        <w:spacing w:line="360" w:lineRule="auto"/>
        <w:jc w:val="center"/>
        <w:rPr>
          <w:rFonts w:ascii="Arial" w:hAnsi="Arial" w:eastAsia="Arial" w:cs="Arial"/>
          <w:i w:val="1"/>
          <w:iCs w:val="1"/>
          <w:color w:val="000000" w:themeColor="text1"/>
        </w:rPr>
      </w:pPr>
      <w:proofErr w:type="spellStart"/>
      <w:r w:rsidRPr="516FD02C" w:rsidR="0724C946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Volpara</w:t>
      </w:r>
      <w:proofErr w:type="spellEnd"/>
      <w:r w:rsidRPr="516FD02C" w:rsidR="0724C946">
        <w:rPr>
          <w:rFonts w:ascii="Arial" w:hAnsi="Arial" w:eastAsia="Arial" w:cs="Arial"/>
          <w:i w:val="1"/>
          <w:iCs w:val="1"/>
          <w:color w:val="000000" w:themeColor="text1" w:themeTint="FF" w:themeShade="FF"/>
          <w:vertAlign w:val="superscript"/>
        </w:rPr>
        <w:t xml:space="preserve"> </w:t>
      </w:r>
      <w:r w:rsidRPr="516FD02C" w:rsidR="0724C946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Risk Pathways</w:t>
      </w:r>
      <w:r w:rsidRPr="516FD02C" w:rsidR="0724C946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 </w:t>
      </w:r>
      <w:r w:rsidRPr="516FD02C" w:rsidR="3585B006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comprehensive breast cancer risk </w:t>
      </w:r>
      <w:r w:rsidRPr="516FD02C" w:rsidR="0724C946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software </w:t>
      </w:r>
      <w:r w:rsidRPr="516FD02C" w:rsidR="2AEA7355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will enable </w:t>
      </w:r>
      <w:r w:rsidRPr="516FD02C" w:rsidR="4E3C895C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women </w:t>
      </w:r>
      <w:r w:rsidRPr="516FD02C" w:rsidR="00903C48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to </w:t>
      </w:r>
      <w:r w:rsidRPr="516FD02C" w:rsidR="003A5968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receive risk </w:t>
      </w:r>
      <w:r w:rsidRPr="516FD02C" w:rsidR="000336C3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assessment</w:t>
      </w:r>
      <w:r w:rsidRPr="516FD02C" w:rsidR="002322EF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s</w:t>
      </w:r>
      <w:r w:rsidRPr="516FD02C" w:rsidR="003A5968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 </w:t>
      </w:r>
      <w:r w:rsidRPr="516FD02C" w:rsidR="00411A20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to </w:t>
      </w:r>
      <w:r w:rsidRPr="516FD02C" w:rsidR="002779E5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determin</w:t>
      </w:r>
      <w:r w:rsidRPr="516FD02C" w:rsidR="002322EF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e needs for </w:t>
      </w:r>
      <w:r w:rsidRPr="516FD02C" w:rsidR="003A5968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personalized </w:t>
      </w:r>
      <w:r w:rsidRPr="516FD02C" w:rsidR="005D7FB0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screening and prevention strategies</w:t>
      </w:r>
    </w:p>
    <w:p w:rsidR="0071192E" w:rsidP="0724C946" w:rsidRDefault="0724C946" w14:paraId="2783F4AE" w14:textId="40632240">
      <w:pPr>
        <w:spacing w:line="360" w:lineRule="auto"/>
        <w:jc w:val="center"/>
        <w:rPr>
          <w:rFonts w:ascii="Arial" w:hAnsi="Arial" w:eastAsia="Arial" w:cs="Arial"/>
          <w:color w:val="000000" w:themeColor="text1"/>
        </w:rPr>
      </w:pP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 xml:space="preserve"> </w:t>
      </w:r>
    </w:p>
    <w:p w:rsidR="0071192E" w:rsidP="621C04AA" w:rsidRDefault="0724C946" w14:paraId="5414C14E" w14:textId="54159F83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[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CITY, STATE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], [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DATE</w:t>
      </w: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]</w:t>
      </w:r>
      <w:r w:rsidRPr="516FD02C" w:rsidR="0724C946">
        <w:rPr>
          <w:rFonts w:ascii="Arial" w:hAnsi="Arial" w:eastAsia="Arial" w:cs="Arial"/>
          <w:color w:val="000000" w:themeColor="text1" w:themeTint="FF" w:themeShade="FF"/>
        </w:rPr>
        <w:t xml:space="preserve"> – 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[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Facility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], a leading provider of [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Service(s)]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, has adopted </w:t>
      </w:r>
      <w:proofErr w:type="spellStart"/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Volpara</w:t>
      </w:r>
      <w:proofErr w:type="spellEnd"/>
      <w:r w:rsidRPr="516FD02C" w:rsidR="0724C946">
        <w:rPr>
          <w:rFonts w:ascii="Arial" w:hAnsi="Arial" w:eastAsia="Arial" w:cs="Arial"/>
          <w:color w:val="000000" w:themeColor="text1" w:themeTint="FF" w:themeShade="FF"/>
          <w:vertAlign w:val="superscript"/>
          <w:lang w:val="en"/>
        </w:rPr>
        <w:t>®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Risk Pathways™, a 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market-leading 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software program designed to simplify risk assessment and patient management for various cancers, including breast cancer.</w:t>
      </w:r>
    </w:p>
    <w:p w:rsidR="0071192E" w:rsidP="621C04AA" w:rsidRDefault="29207222" w14:paraId="6D71EA13" w14:textId="1D4B0D23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>Multiple cancer organizations including the American College of Radiology (ACR), the National Comprehensive Cancer Network (NCCN), and the American Society of Breast Surgeons (</w:t>
      </w:r>
      <w:proofErr w:type="spellStart"/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>ASBrS</w:t>
      </w:r>
      <w:proofErr w:type="spellEnd"/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>) recommend that women complete a breast cancer risk assessment between ages 25 and 30.</w:t>
      </w:r>
      <w:r w:rsidRPr="516FD02C" w:rsidR="29207222">
        <w:rPr>
          <w:rFonts w:ascii="Arial" w:hAnsi="Arial" w:eastAsia="Arial" w:cs="Arial"/>
          <w:color w:val="000000" w:themeColor="text1" w:themeTint="FF" w:themeShade="FF"/>
          <w:vertAlign w:val="superscript"/>
          <w:lang w:val="en"/>
        </w:rPr>
        <w:t>1,2,3</w:t>
      </w:r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This changes longstanding prior recommendations that breast care begin at 40</w:t>
      </w:r>
      <w:r w:rsidRPr="516FD02C" w:rsidR="00941B85">
        <w:rPr>
          <w:rFonts w:ascii="Arial" w:hAnsi="Arial" w:eastAsia="Arial" w:cs="Arial"/>
          <w:color w:val="000000" w:themeColor="text1" w:themeTint="FF" w:themeShade="FF"/>
          <w:lang w:val="en"/>
        </w:rPr>
        <w:t>–</w:t>
      </w:r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 xml:space="preserve">50 years of age. With this </w:t>
      </w:r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>directive to find cancers sooner</w:t>
      </w:r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 xml:space="preserve">, it is </w:t>
      </w:r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 xml:space="preserve">essential for health systems to adopt </w:t>
      </w:r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 xml:space="preserve">new methods </w:t>
      </w:r>
      <w:r w:rsidRPr="516FD02C" w:rsidR="6E86FC5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that </w:t>
      </w:r>
      <w:r w:rsidRPr="516FD02C" w:rsidR="29207222">
        <w:rPr>
          <w:rFonts w:ascii="Arial" w:hAnsi="Arial" w:eastAsia="Arial" w:cs="Arial"/>
          <w:color w:val="000000" w:themeColor="text1" w:themeTint="FF" w:themeShade="FF"/>
          <w:lang w:val="en"/>
        </w:rPr>
        <w:t>reach patients who are younger than 40 years of age.</w:t>
      </w:r>
    </w:p>
    <w:p w:rsidR="0071192E" w:rsidP="621C04AA" w:rsidRDefault="798C3529" w14:paraId="6B7123CB" w14:textId="3157C434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[Placeholder Quote]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“Breast cancer risk assessment is a priority for 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[Facility Name]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in our effort to enable early detection of cancer for our patients</w:t>
      </w:r>
      <w:r w:rsidRPr="516FD02C" w:rsidR="00794FFD">
        <w:rPr>
          <w:rFonts w:ascii="Arial" w:hAnsi="Arial" w:eastAsia="Arial" w:cs="Arial"/>
          <w:color w:val="000000" w:themeColor="text1" w:themeTint="FF" w:themeShade="FF"/>
          <w:lang w:val="en"/>
        </w:rPr>
        <w:t xml:space="preserve">,” </w:t>
      </w:r>
      <w:r w:rsidRPr="516FD02C" w:rsidR="00794FFD">
        <w:rPr>
          <w:rFonts w:ascii="Arial" w:hAnsi="Arial" w:eastAsia="Arial" w:cs="Arial"/>
          <w:color w:val="000000" w:themeColor="text1" w:themeTint="FF" w:themeShade="FF"/>
          <w:lang w:val="en"/>
        </w:rPr>
        <w:t xml:space="preserve">said </w:t>
      </w:r>
      <w:r w:rsidRPr="516FD02C" w:rsidR="00794FFD">
        <w:rPr>
          <w:rFonts w:ascii="Arial" w:hAnsi="Arial" w:eastAsia="Arial" w:cs="Arial"/>
          <w:color w:val="000000" w:themeColor="text1" w:themeTint="FF" w:themeShade="FF"/>
          <w:lang w:val="en"/>
        </w:rPr>
        <w:t xml:space="preserve">[Name, Title at Facility </w:t>
      </w:r>
      <w:r w:rsidRPr="516FD02C" w:rsidR="00794FFD">
        <w:rPr>
          <w:rFonts w:ascii="Arial" w:hAnsi="Arial" w:eastAsia="Arial" w:cs="Arial"/>
          <w:color w:val="000000" w:themeColor="text1" w:themeTint="FF" w:themeShade="FF"/>
          <w:lang w:val="en"/>
        </w:rPr>
        <w:t>Name</w:t>
      </w:r>
      <w:r w:rsidRPr="516FD02C" w:rsidR="00794FFD">
        <w:rPr>
          <w:rFonts w:ascii="Arial" w:hAnsi="Arial" w:eastAsia="Arial" w:cs="Arial"/>
          <w:color w:val="000000" w:themeColor="text1" w:themeTint="FF" w:themeShade="FF"/>
          <w:lang w:val="en"/>
        </w:rPr>
        <w:t>]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. </w:t>
      </w:r>
      <w:r w:rsidRPr="516FD02C" w:rsidR="00794FFD">
        <w:rPr>
          <w:rFonts w:ascii="Arial" w:hAnsi="Arial" w:eastAsia="Arial" w:cs="Arial"/>
          <w:color w:val="000000" w:themeColor="text1" w:themeTint="FF" w:themeShade="FF"/>
          <w:lang w:val="en"/>
        </w:rPr>
        <w:t>“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Implementing </w:t>
      </w:r>
      <w:proofErr w:type="spellStart"/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Volpara</w:t>
      </w:r>
      <w:proofErr w:type="spellEnd"/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Risk Pathways has given us the tools to identify and manage high-risk patients at a much earlier point. By reaching out and assessing women prior to screening age, it also enables us to work toward risk</w:t>
      </w:r>
      <w:r w:rsidRPr="516FD02C" w:rsidR="00B969AA">
        <w:rPr>
          <w:rFonts w:ascii="Arial" w:hAnsi="Arial" w:eastAsia="Arial" w:cs="Arial"/>
          <w:color w:val="000000" w:themeColor="text1" w:themeTint="FF" w:themeShade="FF"/>
          <w:lang w:val="en"/>
        </w:rPr>
        <w:t>-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reduction techniques to help prevent cancers</w:t>
      </w:r>
      <w:r w:rsidRPr="516FD02C" w:rsidR="00B969AA">
        <w:rPr>
          <w:rFonts w:ascii="Arial" w:hAnsi="Arial" w:eastAsia="Arial" w:cs="Arial"/>
          <w:color w:val="000000" w:themeColor="text1" w:themeTint="FF" w:themeShade="FF"/>
          <w:lang w:val="en"/>
        </w:rPr>
        <w:t>.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” </w:t>
      </w:r>
    </w:p>
    <w:p w:rsidR="0071192E" w:rsidP="621C04AA" w:rsidRDefault="798C3529" w14:paraId="0C00C6AC" w14:textId="089DAE82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The patient plays a very important role in their own risk assessment by providing details on personal and family history. </w:t>
      </w:r>
      <w:proofErr w:type="spellStart"/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Volpara</w:t>
      </w:r>
      <w:proofErr w:type="spellEnd"/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Risk Pathways makes it convenient to reach women whether they are located in a primary care office, OB</w:t>
      </w:r>
      <w:r w:rsidRPr="516FD02C" w:rsidR="000C5D67">
        <w:rPr>
          <w:rFonts w:ascii="Arial" w:hAnsi="Arial" w:eastAsia="Arial" w:cs="Arial"/>
          <w:color w:val="000000" w:themeColor="text1" w:themeTint="FF" w:themeShade="FF"/>
          <w:lang w:val="en"/>
        </w:rPr>
        <w:t>-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GYN office, or in their </w:t>
      </w:r>
      <w:r w:rsidRPr="516FD02C" w:rsidR="6AF24DAC">
        <w:rPr>
          <w:rFonts w:ascii="Arial" w:hAnsi="Arial" w:eastAsia="Arial" w:cs="Arial"/>
          <w:color w:val="000000" w:themeColor="text1" w:themeTint="FF" w:themeShade="FF"/>
          <w:lang w:val="en"/>
        </w:rPr>
        <w:t xml:space="preserve">own 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home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—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the easy-to-access digital 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health questionnaires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can be completed from wherever there is an internet connection. Once a patient’s personal risk information has been collected, 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[Facility Name]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can access a set of risk models and clinical guidelines to accurately identify and triage high-risk patients to follow-up care, including genetic testing and medical imaging such as 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mammography, ultrasound, 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or breast MRI.</w:t>
      </w:r>
    </w:p>
    <w:p w:rsidR="61B3B557" w:rsidP="621C04AA" w:rsidRDefault="028929F0" w14:paraId="3632C46D" w14:textId="017129E3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028929F0">
        <w:rPr>
          <w:rFonts w:ascii="Arial" w:hAnsi="Arial" w:eastAsia="Arial" w:cs="Arial"/>
          <w:color w:val="000000" w:themeColor="text1" w:themeTint="FF" w:themeShade="FF"/>
          <w:lang w:val="en"/>
        </w:rPr>
        <w:t xml:space="preserve">“Genetic testing and </w:t>
      </w:r>
      <w:r w:rsidRPr="516FD02C" w:rsidR="028929F0">
        <w:rPr>
          <w:rFonts w:ascii="Arial" w:hAnsi="Arial" w:eastAsia="Arial" w:cs="Arial"/>
          <w:color w:val="000000" w:themeColor="text1" w:themeTint="FF" w:themeShade="FF"/>
          <w:lang w:val="en"/>
        </w:rPr>
        <w:t xml:space="preserve">follow-up </w:t>
      </w:r>
      <w:r w:rsidRPr="516FD02C" w:rsidR="028929F0">
        <w:rPr>
          <w:rFonts w:ascii="Arial" w:hAnsi="Arial" w:eastAsia="Arial" w:cs="Arial"/>
          <w:color w:val="000000" w:themeColor="text1" w:themeTint="FF" w:themeShade="FF"/>
          <w:lang w:val="en"/>
        </w:rPr>
        <w:t>imaging used to be reserved for patients who already were diagnosed with breast cancer</w:t>
      </w:r>
      <w:r w:rsidRPr="516FD02C" w:rsidR="00B969AA">
        <w:rPr>
          <w:rFonts w:ascii="Arial" w:hAnsi="Arial" w:eastAsia="Arial" w:cs="Arial"/>
          <w:color w:val="000000" w:themeColor="text1" w:themeTint="FF" w:themeShade="FF"/>
          <w:lang w:val="en"/>
        </w:rPr>
        <w:t xml:space="preserve">,” </w:t>
      </w:r>
      <w:r w:rsidRPr="516FD02C" w:rsidR="00B969AA">
        <w:rPr>
          <w:rFonts w:ascii="Arial" w:hAnsi="Arial" w:eastAsia="Arial" w:cs="Arial"/>
          <w:color w:val="000000" w:themeColor="text1" w:themeTint="FF" w:themeShade="FF"/>
          <w:lang w:val="en"/>
        </w:rPr>
        <w:t xml:space="preserve">said </w:t>
      </w:r>
      <w:r w:rsidRPr="516FD02C" w:rsidR="00B969AA">
        <w:rPr>
          <w:rFonts w:ascii="Arial" w:hAnsi="Arial" w:eastAsia="Arial" w:cs="Arial"/>
          <w:color w:val="000000" w:themeColor="text1" w:themeTint="FF" w:themeShade="FF"/>
          <w:lang w:val="en"/>
        </w:rPr>
        <w:t>[Name, Title at Facility Name]</w:t>
      </w:r>
      <w:r w:rsidRPr="516FD02C" w:rsidR="028929F0">
        <w:rPr>
          <w:rFonts w:ascii="Arial" w:hAnsi="Arial" w:eastAsia="Arial" w:cs="Arial"/>
          <w:color w:val="000000" w:themeColor="text1" w:themeTint="FF" w:themeShade="FF"/>
          <w:lang w:val="en"/>
        </w:rPr>
        <w:t>.</w:t>
      </w:r>
      <w:r w:rsidRPr="516FD02C" w:rsidR="028929F0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We want to get ahead of this problem—why wait for cancer to happen? We want all our patients to have the chance to know if they are at high risk</w:t>
      </w:r>
      <w:r w:rsidRPr="516FD02C" w:rsidR="002508EF">
        <w:rPr>
          <w:rFonts w:ascii="Arial" w:hAnsi="Arial" w:eastAsia="Arial" w:cs="Arial"/>
          <w:color w:val="000000" w:themeColor="text1" w:themeTint="FF" w:themeShade="FF"/>
          <w:lang w:val="en"/>
        </w:rPr>
        <w:t>,</w:t>
      </w:r>
      <w:r w:rsidRPr="516FD02C" w:rsidR="028929F0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and then together</w:t>
      </w:r>
      <w:r w:rsidRPr="516FD02C" w:rsidR="028929F0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we will make a plan for prevention strategies and devise personalized early detection screening plans</w:t>
      </w:r>
      <w:r w:rsidRPr="516FD02C" w:rsidR="00B969AA">
        <w:rPr>
          <w:rFonts w:ascii="Arial" w:hAnsi="Arial" w:eastAsia="Arial" w:cs="Arial"/>
          <w:color w:val="000000" w:themeColor="text1" w:themeTint="FF" w:themeShade="FF"/>
          <w:lang w:val="en"/>
        </w:rPr>
        <w:t>.</w:t>
      </w:r>
      <w:r w:rsidRPr="516FD02C" w:rsidR="00E23509">
        <w:rPr>
          <w:rFonts w:ascii="Arial" w:hAnsi="Arial" w:eastAsia="Arial" w:cs="Arial"/>
          <w:color w:val="000000" w:themeColor="text1" w:themeTint="FF" w:themeShade="FF"/>
          <w:lang w:val="en"/>
        </w:rPr>
        <w:t>”</w:t>
      </w:r>
      <w:r w:rsidRPr="516FD02C" w:rsidR="028929F0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</w:p>
    <w:p w:rsidR="0071192E" w:rsidP="621C04AA" w:rsidRDefault="798C3529" w14:paraId="33DEAF36" w14:textId="776C175F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proofErr w:type="spellStart"/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Volpara</w:t>
      </w:r>
      <w:proofErr w:type="spellEnd"/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Risk Pathways also facilitates convenient integration with leading genetic labs. Once a need for genetic testing or other follow-up care has been determined, the software makes it easy for </w:t>
      </w:r>
      <w:r w:rsidRPr="516FD02C" w:rsidR="768D12C8">
        <w:rPr>
          <w:rFonts w:ascii="Arial" w:hAnsi="Arial" w:eastAsia="Arial" w:cs="Arial"/>
          <w:color w:val="000000" w:themeColor="text1" w:themeTint="FF" w:themeShade="FF"/>
          <w:lang w:val="en"/>
        </w:rPr>
        <w:t>health</w:t>
      </w:r>
      <w:r w:rsidRPr="516FD02C" w:rsidR="768D12C8">
        <w:rPr>
          <w:rFonts w:ascii="Arial" w:hAnsi="Arial" w:eastAsia="Arial" w:cs="Arial"/>
          <w:color w:val="000000" w:themeColor="text1" w:themeTint="FF" w:themeShade="FF"/>
          <w:lang w:val="en"/>
        </w:rPr>
        <w:t xml:space="preserve">care </w:t>
      </w: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providers to track the patient’s progress, update their risk profile, and generate additional communications, including educational and medical necessity materials.</w:t>
      </w:r>
    </w:p>
    <w:p w:rsidR="0071192E" w:rsidP="0724C946" w:rsidRDefault="0724C946" w14:paraId="580FC955" w14:textId="060DCE28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Located in 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[City, State], [Facility Name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] serves more than [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xx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] patients with a team of [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xx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] committed radiologists whose expertise is now supplemented by </w:t>
      </w:r>
      <w:proofErr w:type="spellStart"/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Volpara’s</w:t>
      </w:r>
      <w:proofErr w:type="spellEnd"/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robust software support.</w:t>
      </w:r>
    </w:p>
    <w:p w:rsidR="0071192E" w:rsidP="516FD02C" w:rsidRDefault="0724C946" w14:paraId="32D63385" w14:textId="5B1A29EC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[Placeholder Quote]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  <w:r w:rsidRPr="516FD02C" w:rsidR="008E1A64">
        <w:rPr>
          <w:rFonts w:ascii="Arial" w:hAnsi="Arial" w:eastAsia="Arial" w:cs="Arial"/>
          <w:color w:val="000000" w:themeColor="text1" w:themeTint="FF" w:themeShade="FF"/>
          <w:lang w:val="en"/>
        </w:rPr>
        <w:t>[</w:t>
      </w:r>
      <w:r w:rsidRPr="516FD02C" w:rsidR="008E1A64">
        <w:rPr>
          <w:rFonts w:ascii="Arial" w:hAnsi="Arial" w:eastAsia="Arial" w:cs="Arial"/>
          <w:color w:val="000000" w:themeColor="text1" w:themeTint="FF" w:themeShade="FF"/>
          <w:lang w:val="en"/>
        </w:rPr>
        <w:t>Name, Title at Facility Name</w:t>
      </w:r>
      <w:r w:rsidRPr="516FD02C" w:rsidR="008E1A64">
        <w:rPr>
          <w:rFonts w:ascii="Arial" w:hAnsi="Arial" w:eastAsia="Arial" w:cs="Arial"/>
          <w:color w:val="000000" w:themeColor="text1" w:themeTint="FF" w:themeShade="FF"/>
          <w:lang w:val="en"/>
        </w:rPr>
        <w:t>]</w:t>
      </w:r>
      <w:r w:rsidRPr="516FD02C" w:rsidR="008E1A64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sai</w:t>
      </w:r>
      <w:r w:rsidRPr="516FD02C" w:rsidR="008E1A64">
        <w:rPr>
          <w:rFonts w:ascii="Arial" w:hAnsi="Arial" w:eastAsia="Arial" w:cs="Arial"/>
          <w:color w:val="000000" w:themeColor="text1" w:themeTint="FF" w:themeShade="FF"/>
          <w:lang w:val="en"/>
        </w:rPr>
        <w:t>d:</w:t>
      </w:r>
      <w:r w:rsidRPr="516FD02C" w:rsidR="008E1A64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“</w:t>
      </w:r>
      <w:r w:rsidRPr="516FD02C" w:rsidR="177232A2">
        <w:rPr>
          <w:rFonts w:ascii="Arial" w:hAnsi="Arial" w:eastAsia="Arial" w:cs="Arial"/>
          <w:color w:val="000000" w:themeColor="text1" w:themeTint="FF" w:themeShade="FF"/>
          <w:lang w:val="en"/>
        </w:rPr>
        <w:t>Cancer care is always progressing, but right now</w:t>
      </w:r>
      <w:r w:rsidRPr="516FD02C" w:rsidR="00400C3B">
        <w:rPr>
          <w:rFonts w:ascii="Arial" w:hAnsi="Arial" w:eastAsia="Arial" w:cs="Arial"/>
          <w:color w:val="000000" w:themeColor="text1" w:themeTint="FF" w:themeShade="FF"/>
          <w:lang w:val="en"/>
        </w:rPr>
        <w:t>,</w:t>
      </w:r>
      <w:r w:rsidRPr="516FD02C" w:rsidR="177232A2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until there is a cure, early detection is the best chance we can give patients if they do face a cancer diagnosis. </w:t>
      </w:r>
      <w:proofErr w:type="spellStart"/>
      <w:r w:rsidRPr="516FD02C" w:rsidR="177232A2">
        <w:rPr>
          <w:rFonts w:ascii="Arial" w:hAnsi="Arial" w:eastAsia="Arial" w:cs="Arial"/>
          <w:color w:val="000000" w:themeColor="text1" w:themeTint="FF" w:themeShade="FF"/>
          <w:lang w:val="en"/>
        </w:rPr>
        <w:t>Volpara</w:t>
      </w:r>
      <w:proofErr w:type="spellEnd"/>
      <w:r w:rsidRPr="516FD02C" w:rsidR="177232A2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Risk Pathways gives us the best shot at reducing suffering for patients and families in our community</w:t>
      </w:r>
      <w:r w:rsidRPr="516FD02C" w:rsidR="008E1A64">
        <w:rPr>
          <w:rFonts w:ascii="Arial" w:hAnsi="Arial" w:eastAsia="Arial" w:cs="Arial"/>
          <w:color w:val="000000" w:themeColor="text1" w:themeTint="FF" w:themeShade="FF"/>
          <w:lang w:val="en"/>
        </w:rPr>
        <w:t>.</w:t>
      </w: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” </w:t>
      </w:r>
    </w:p>
    <w:p w:rsidR="0071192E" w:rsidP="3A2CE52E" w:rsidRDefault="0071192E" w14:paraId="7B5D2CFA" w14:textId="163BED4E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</w:p>
    <w:p w:rsidR="0071192E" w:rsidP="516FD02C" w:rsidRDefault="0724C946" w14:paraId="62130B62" w14:textId="47FD486F">
      <w:pPr>
        <w:rPr>
          <w:rFonts w:ascii="Arial" w:hAnsi="Arial" w:eastAsia="Arial" w:cs="Arial"/>
          <w:color w:val="000000" w:themeColor="text1"/>
        </w:rPr>
      </w:pP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lang w:val="en"/>
        </w:rPr>
        <w:t>[Insert Facility Boiler Plate]</w:t>
      </w:r>
    </w:p>
    <w:p w:rsidR="0071192E" w:rsidP="516FD02C" w:rsidRDefault="0071192E" w14:paraId="3ABEBF64" w14:textId="7CC22B9E">
      <w:pPr>
        <w:rPr>
          <w:rFonts w:ascii="Arial" w:hAnsi="Arial" w:eastAsia="Arial" w:cs="Arial"/>
          <w:b w:val="1"/>
          <w:bCs w:val="1"/>
          <w:color w:val="000000" w:themeColor="text1"/>
          <w:lang w:val="en"/>
        </w:rPr>
      </w:pPr>
    </w:p>
    <w:p w:rsidR="0071192E" w:rsidP="3A2CE52E" w:rsidRDefault="0724C946" w14:paraId="366A9D95" w14:textId="5BB39096">
      <w:pPr>
        <w:rPr>
          <w:rFonts w:ascii="Arial" w:hAnsi="Arial" w:eastAsia="Arial" w:cs="Arial"/>
          <w:color w:val="000000" w:themeColor="text1"/>
        </w:rPr>
      </w:pPr>
      <w:r w:rsidRPr="516FD02C" w:rsidR="0724C946">
        <w:rPr>
          <w:rFonts w:ascii="Arial" w:hAnsi="Arial" w:eastAsia="Arial" w:cs="Arial"/>
          <w:b w:val="1"/>
          <w:bCs w:val="1"/>
          <w:color w:val="000000" w:themeColor="text1" w:themeTint="FF" w:themeShade="FF"/>
          <w:lang w:val="en"/>
        </w:rPr>
        <w:t>#   #   #</w:t>
      </w:r>
    </w:p>
    <w:p w:rsidR="0071192E" w:rsidP="0724C946" w:rsidRDefault="0071192E" w14:paraId="1BC93601" w14:textId="1FDEB9CA">
      <w:pPr>
        <w:rPr>
          <w:rFonts w:ascii="Arial" w:hAnsi="Arial" w:eastAsia="Arial" w:cs="Arial"/>
          <w:color w:val="000000" w:themeColor="text1"/>
        </w:rPr>
      </w:pPr>
    </w:p>
    <w:p w:rsidRPr="0071192E" w:rsidR="0071192E" w:rsidP="15627F8D" w:rsidRDefault="798C3529" w14:paraId="56BACD98" w14:textId="3423A84B">
      <w:pPr>
        <w:spacing w:after="0" w:line="240" w:lineRule="auto"/>
        <w:rPr>
          <w:rFonts w:ascii="Arial" w:hAnsi="Arial" w:eastAsia="Arial" w:cs="Arial"/>
          <w:b w:val="1"/>
          <w:bCs w:val="1"/>
          <w:color w:val="000000" w:themeColor="text1"/>
        </w:rPr>
      </w:pPr>
      <w:r w:rsidRPr="574CFF60" w:rsidR="798C3529">
        <w:rPr>
          <w:rFonts w:ascii="Arial" w:hAnsi="Arial" w:eastAsia="Arial" w:cs="Arial"/>
          <w:b w:val="1"/>
          <w:bCs w:val="1"/>
          <w:color w:val="000000" w:themeColor="text1"/>
          <w:shd w:val="clear" w:color="auto" w:fill="E6E6E6"/>
          <w:lang w:val="en"/>
        </w:rPr>
        <w:t>Media Contacts:</w:t>
      </w:r>
    </w:p>
    <w:p w:rsidR="0071192E" w:rsidP="15627F8D" w:rsidRDefault="798C3529" w14:paraId="47C5DA29" w14:textId="57495BEB">
      <w:pPr>
        <w:spacing w:after="0" w:line="240" w:lineRule="auto"/>
        <w:rPr>
          <w:rFonts w:ascii="Arial" w:hAnsi="Arial" w:eastAsia="Arial" w:cs="Arial"/>
          <w:color w:val="000000" w:themeColor="text1"/>
        </w:rPr>
      </w:pP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Name</w:t>
      </w:r>
    </w:p>
    <w:p w:rsidR="0071192E" w:rsidP="15627F8D" w:rsidRDefault="798C3529" w14:paraId="52A99DA0" w14:textId="71F45FDF">
      <w:pPr>
        <w:spacing w:after="0" w:line="240" w:lineRule="auto"/>
        <w:rPr>
          <w:rFonts w:ascii="Arial" w:hAnsi="Arial" w:eastAsia="Arial" w:cs="Arial"/>
          <w:color w:val="000000" w:themeColor="text1"/>
        </w:rPr>
      </w:pP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Facility Name</w:t>
      </w:r>
    </w:p>
    <w:p w:rsidR="0071192E" w:rsidP="15627F8D" w:rsidRDefault="798C3529" w14:paraId="6F4FB5B6" w14:textId="4B71C251">
      <w:pPr>
        <w:spacing w:after="0" w:line="240" w:lineRule="auto"/>
        <w:rPr>
          <w:rFonts w:ascii="Arial" w:hAnsi="Arial" w:eastAsia="Arial" w:cs="Arial"/>
          <w:color w:val="000000" w:themeColor="text1"/>
        </w:rPr>
      </w:pP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Phone</w:t>
      </w:r>
    </w:p>
    <w:p w:rsidR="0071192E" w:rsidP="15627F8D" w:rsidRDefault="798C3529" w14:paraId="0F873292" w14:textId="526AE221">
      <w:pPr>
        <w:spacing w:after="0" w:line="24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798C3529">
        <w:rPr>
          <w:rFonts w:ascii="Arial" w:hAnsi="Arial" w:eastAsia="Arial" w:cs="Arial"/>
          <w:color w:val="000000" w:themeColor="text1" w:themeTint="FF" w:themeShade="FF"/>
          <w:lang w:val="en"/>
        </w:rPr>
        <w:t>Email</w:t>
      </w:r>
    </w:p>
    <w:p w:rsidR="0071192E" w:rsidP="3A2CE52E" w:rsidRDefault="0724C946" w14:paraId="0B64D34C" w14:textId="4D5EF8C2">
      <w:pPr>
        <w:spacing w:after="0" w:line="24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</w:p>
    <w:p w:rsidR="3A2CE52E" w:rsidP="3A2CE52E" w:rsidRDefault="3A2CE52E" w14:paraId="223F9929" w14:textId="2B508925">
      <w:pPr>
        <w:spacing w:after="0" w:line="240" w:lineRule="auto"/>
        <w:rPr>
          <w:rFonts w:ascii="Arial" w:hAnsi="Arial" w:eastAsia="Arial" w:cs="Arial"/>
          <w:color w:val="000000" w:themeColor="text1"/>
          <w:lang w:val="en"/>
        </w:rPr>
      </w:pPr>
    </w:p>
    <w:p w:rsidR="0071192E" w:rsidP="3A2CE52E" w:rsidRDefault="0724C946" w14:paraId="66139E03" w14:textId="5545A6AF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516FD02C" w:rsidR="0724C946">
        <w:rPr>
          <w:rFonts w:ascii="Arial" w:hAnsi="Arial" w:eastAsia="Arial" w:cs="Arial"/>
          <w:color w:val="000000" w:themeColor="text1" w:themeTint="FF" w:themeShade="FF"/>
          <w:lang w:val="en"/>
        </w:rPr>
        <w:t>References:</w:t>
      </w:r>
    </w:p>
    <w:p w:rsidR="0071192E" w:rsidP="516FD02C" w:rsidRDefault="0071192E" w14:paraId="6939C35B" w14:textId="10057205">
      <w:pPr>
        <w:pStyle w:val="ListParagraph"/>
        <w:numPr>
          <w:ilvl w:val="0"/>
          <w:numId w:val="5"/>
        </w:numPr>
        <w:spacing w:line="360" w:lineRule="auto"/>
        <w:rPr>
          <w:rFonts w:ascii="Arial" w:hAnsi="Arial" w:eastAsia="Arial" w:cs="Arial" w:asciiTheme="minorAscii" w:hAnsiTheme="minorAscii" w:eastAsiaTheme="minorAscii" w:cstheme="minorAscii"/>
          <w:color w:val="000000" w:themeColor="text1" w:themeTint="FF" w:themeShade="FF"/>
          <w:sz w:val="22"/>
          <w:szCs w:val="22"/>
          <w:lang w:val="en"/>
        </w:rPr>
      </w:pPr>
      <w:r w:rsidRPr="516FD02C" w:rsidR="516FD02C">
        <w:rPr>
          <w:rFonts w:ascii="Arial" w:hAnsi="Arial" w:eastAsia="Arial" w:cs="Arial"/>
          <w:color w:val="000000" w:themeColor="text1" w:themeTint="FF" w:themeShade="FF"/>
          <w:lang w:val="en"/>
        </w:rPr>
        <w:t>https://www.sbi-online.org/RESOURCES/ScreeningMammography/TabId/111/ArtMID/1322/ArticleID/1039/New-ACRSBI-Guidelines-Recommend-All-Women-Be-Evaluated-For-Breast-Cancer-Risk-By-Age-30.aspx</w:t>
      </w:r>
    </w:p>
    <w:p w:rsidR="0071192E" w:rsidP="516FD02C" w:rsidRDefault="0071192E" w14:paraId="39F02C5D" w14:textId="2F078C5B">
      <w:pPr>
        <w:pStyle w:val="ListParagraph"/>
        <w:numPr>
          <w:ilvl w:val="0"/>
          <w:numId w:val="5"/>
        </w:numPr>
        <w:spacing w:line="360" w:lineRule="auto"/>
        <w:rPr>
          <w:rFonts w:ascii="Arial" w:hAnsi="Arial" w:eastAsia="Arial" w:cs="Arial" w:asciiTheme="minorAscii" w:hAnsiTheme="minorAscii" w:eastAsiaTheme="minorAscii" w:cstheme="minorAscii"/>
          <w:color w:val="000000" w:themeColor="text1" w:themeTint="FF" w:themeShade="FF"/>
          <w:sz w:val="22"/>
          <w:szCs w:val="22"/>
          <w:lang w:val="en"/>
        </w:rPr>
      </w:pPr>
      <w:r w:rsidRPr="516FD02C" w:rsidR="516FD02C">
        <w:rPr>
          <w:rFonts w:ascii="Arial" w:hAnsi="Arial" w:eastAsia="Arial" w:cs="Arial"/>
          <w:color w:val="000000" w:themeColor="text1" w:themeTint="FF" w:themeShade="FF"/>
          <w:lang w:val="en"/>
        </w:rPr>
        <w:t>https://www.nccn.org/guidelines/guidelines-detail?category=1&amp;id=1419</w:t>
      </w:r>
    </w:p>
    <w:p w:rsidR="0071192E" w:rsidP="516FD02C" w:rsidRDefault="0071192E" w14:paraId="2C078E63" w14:textId="4A0E1B0E">
      <w:pPr>
        <w:pStyle w:val="ListParagraph"/>
        <w:numPr>
          <w:ilvl w:val="0"/>
          <w:numId w:val="5"/>
        </w:numPr>
        <w:spacing w:line="360" w:lineRule="auto"/>
        <w:rPr>
          <w:rFonts w:ascii="Arial" w:hAnsi="Arial" w:eastAsia="Arial" w:cs="Arial" w:asciiTheme="minorAscii" w:hAnsiTheme="minorAscii" w:eastAsiaTheme="minorAscii" w:cstheme="minorAscii"/>
          <w:color w:val="000000" w:themeColor="text1"/>
          <w:sz w:val="22"/>
          <w:szCs w:val="22"/>
          <w:lang w:val="en"/>
        </w:rPr>
      </w:pPr>
      <w:r w:rsidRPr="516FD02C" w:rsidR="516FD02C">
        <w:rPr>
          <w:rFonts w:ascii="Arial" w:hAnsi="Arial" w:eastAsia="Arial" w:cs="Arial"/>
          <w:color w:val="000000" w:themeColor="text1" w:themeTint="FF" w:themeShade="FF"/>
          <w:lang w:val="en"/>
        </w:rPr>
        <w:t>https://www.breastsurgeons.org/docs/statements/Position-Statement-on-Screening-Mammography.pdf</w:t>
      </w:r>
    </w:p>
    <w:sectPr w:rsidR="0071192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6312949"/>
    <w:multiLevelType w:val="hybridMultilevel"/>
    <w:tmpl w:val="2EDAA5EE"/>
    <w:lvl w:ilvl="0" w:tplc="2C562AF2">
      <w:start w:val="1"/>
      <w:numFmt w:val="decimal"/>
      <w:lvlText w:val="%1."/>
      <w:lvlJc w:val="left"/>
      <w:pPr>
        <w:ind w:left="720" w:hanging="360"/>
      </w:pPr>
    </w:lvl>
    <w:lvl w:ilvl="1" w:tplc="02003606">
      <w:start w:val="1"/>
      <w:numFmt w:val="lowerLetter"/>
      <w:lvlText w:val="%2."/>
      <w:lvlJc w:val="left"/>
      <w:pPr>
        <w:ind w:left="1440" w:hanging="360"/>
      </w:pPr>
    </w:lvl>
    <w:lvl w:ilvl="2" w:tplc="DCB6C2C2">
      <w:start w:val="1"/>
      <w:numFmt w:val="lowerRoman"/>
      <w:lvlText w:val="%3."/>
      <w:lvlJc w:val="right"/>
      <w:pPr>
        <w:ind w:left="2160" w:hanging="180"/>
      </w:pPr>
    </w:lvl>
    <w:lvl w:ilvl="3" w:tplc="FEC4627A">
      <w:start w:val="1"/>
      <w:numFmt w:val="decimal"/>
      <w:lvlText w:val="%4."/>
      <w:lvlJc w:val="left"/>
      <w:pPr>
        <w:ind w:left="2880" w:hanging="360"/>
      </w:pPr>
    </w:lvl>
    <w:lvl w:ilvl="4" w:tplc="78A24704">
      <w:start w:val="1"/>
      <w:numFmt w:val="lowerLetter"/>
      <w:lvlText w:val="%5."/>
      <w:lvlJc w:val="left"/>
      <w:pPr>
        <w:ind w:left="3600" w:hanging="360"/>
      </w:pPr>
    </w:lvl>
    <w:lvl w:ilvl="5" w:tplc="B5BC6C28">
      <w:start w:val="1"/>
      <w:numFmt w:val="lowerRoman"/>
      <w:lvlText w:val="%6."/>
      <w:lvlJc w:val="right"/>
      <w:pPr>
        <w:ind w:left="4320" w:hanging="180"/>
      </w:pPr>
    </w:lvl>
    <w:lvl w:ilvl="6" w:tplc="9618BC1C">
      <w:start w:val="1"/>
      <w:numFmt w:val="decimal"/>
      <w:lvlText w:val="%7."/>
      <w:lvlJc w:val="left"/>
      <w:pPr>
        <w:ind w:left="5040" w:hanging="360"/>
      </w:pPr>
    </w:lvl>
    <w:lvl w:ilvl="7" w:tplc="FE0CD09E">
      <w:start w:val="1"/>
      <w:numFmt w:val="lowerLetter"/>
      <w:lvlText w:val="%8."/>
      <w:lvlJc w:val="left"/>
      <w:pPr>
        <w:ind w:left="5760" w:hanging="360"/>
      </w:pPr>
    </w:lvl>
    <w:lvl w:ilvl="8" w:tplc="F7EA6A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35735"/>
    <w:multiLevelType w:val="hybridMultilevel"/>
    <w:tmpl w:val="FFFFFFFF"/>
    <w:lvl w:ilvl="0" w:tplc="AAD2C03C">
      <w:start w:val="1"/>
      <w:numFmt w:val="decimal"/>
      <w:lvlText w:val="%1."/>
      <w:lvlJc w:val="left"/>
      <w:pPr>
        <w:ind w:left="720" w:hanging="360"/>
      </w:pPr>
    </w:lvl>
    <w:lvl w:ilvl="1" w:tplc="421203CC">
      <w:start w:val="1"/>
      <w:numFmt w:val="lowerLetter"/>
      <w:lvlText w:val="%2."/>
      <w:lvlJc w:val="left"/>
      <w:pPr>
        <w:ind w:left="1440" w:hanging="360"/>
      </w:pPr>
    </w:lvl>
    <w:lvl w:ilvl="2" w:tplc="006A5184">
      <w:start w:val="1"/>
      <w:numFmt w:val="lowerRoman"/>
      <w:lvlText w:val="%3."/>
      <w:lvlJc w:val="right"/>
      <w:pPr>
        <w:ind w:left="2160" w:hanging="180"/>
      </w:pPr>
    </w:lvl>
    <w:lvl w:ilvl="3" w:tplc="8FB0FA78">
      <w:start w:val="1"/>
      <w:numFmt w:val="decimal"/>
      <w:lvlText w:val="%4."/>
      <w:lvlJc w:val="left"/>
      <w:pPr>
        <w:ind w:left="2880" w:hanging="360"/>
      </w:pPr>
    </w:lvl>
    <w:lvl w:ilvl="4" w:tplc="82B6F204">
      <w:start w:val="1"/>
      <w:numFmt w:val="lowerLetter"/>
      <w:lvlText w:val="%5."/>
      <w:lvlJc w:val="left"/>
      <w:pPr>
        <w:ind w:left="3600" w:hanging="360"/>
      </w:pPr>
    </w:lvl>
    <w:lvl w:ilvl="5" w:tplc="25C8E592">
      <w:start w:val="1"/>
      <w:numFmt w:val="lowerRoman"/>
      <w:lvlText w:val="%6."/>
      <w:lvlJc w:val="right"/>
      <w:pPr>
        <w:ind w:left="4320" w:hanging="180"/>
      </w:pPr>
    </w:lvl>
    <w:lvl w:ilvl="6" w:tplc="9162038E">
      <w:start w:val="1"/>
      <w:numFmt w:val="decimal"/>
      <w:lvlText w:val="%7."/>
      <w:lvlJc w:val="left"/>
      <w:pPr>
        <w:ind w:left="5040" w:hanging="360"/>
      </w:pPr>
    </w:lvl>
    <w:lvl w:ilvl="7" w:tplc="BA8E703E">
      <w:start w:val="1"/>
      <w:numFmt w:val="lowerLetter"/>
      <w:lvlText w:val="%8."/>
      <w:lvlJc w:val="left"/>
      <w:pPr>
        <w:ind w:left="5760" w:hanging="360"/>
      </w:pPr>
    </w:lvl>
    <w:lvl w:ilvl="8" w:tplc="63C050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03DF0"/>
    <w:multiLevelType w:val="hybridMultilevel"/>
    <w:tmpl w:val="BC628466"/>
    <w:lvl w:ilvl="0" w:tplc="C36EEA9C">
      <w:start w:val="1"/>
      <w:numFmt w:val="decimal"/>
      <w:lvlText w:val="%1."/>
      <w:lvlJc w:val="left"/>
      <w:pPr>
        <w:ind w:left="720" w:hanging="360"/>
      </w:pPr>
    </w:lvl>
    <w:lvl w:ilvl="1" w:tplc="EA96420A">
      <w:start w:val="1"/>
      <w:numFmt w:val="lowerLetter"/>
      <w:lvlText w:val="%2."/>
      <w:lvlJc w:val="left"/>
      <w:pPr>
        <w:ind w:left="1440" w:hanging="360"/>
      </w:pPr>
    </w:lvl>
    <w:lvl w:ilvl="2" w:tplc="EA488C0A">
      <w:start w:val="1"/>
      <w:numFmt w:val="lowerRoman"/>
      <w:lvlText w:val="%3."/>
      <w:lvlJc w:val="right"/>
      <w:pPr>
        <w:ind w:left="2160" w:hanging="180"/>
      </w:pPr>
    </w:lvl>
    <w:lvl w:ilvl="3" w:tplc="D71E1E92">
      <w:start w:val="1"/>
      <w:numFmt w:val="decimal"/>
      <w:lvlText w:val="%4."/>
      <w:lvlJc w:val="left"/>
      <w:pPr>
        <w:ind w:left="2880" w:hanging="360"/>
      </w:pPr>
    </w:lvl>
    <w:lvl w:ilvl="4" w:tplc="390C0876">
      <w:start w:val="1"/>
      <w:numFmt w:val="lowerLetter"/>
      <w:lvlText w:val="%5."/>
      <w:lvlJc w:val="left"/>
      <w:pPr>
        <w:ind w:left="3600" w:hanging="360"/>
      </w:pPr>
    </w:lvl>
    <w:lvl w:ilvl="5" w:tplc="0ED68EAE">
      <w:start w:val="1"/>
      <w:numFmt w:val="lowerRoman"/>
      <w:lvlText w:val="%6."/>
      <w:lvlJc w:val="right"/>
      <w:pPr>
        <w:ind w:left="4320" w:hanging="180"/>
      </w:pPr>
    </w:lvl>
    <w:lvl w:ilvl="6" w:tplc="4A8AE34E">
      <w:start w:val="1"/>
      <w:numFmt w:val="decimal"/>
      <w:lvlText w:val="%7."/>
      <w:lvlJc w:val="left"/>
      <w:pPr>
        <w:ind w:left="5040" w:hanging="360"/>
      </w:pPr>
    </w:lvl>
    <w:lvl w:ilvl="7" w:tplc="B76E8FA0">
      <w:start w:val="1"/>
      <w:numFmt w:val="lowerLetter"/>
      <w:lvlText w:val="%8."/>
      <w:lvlJc w:val="left"/>
      <w:pPr>
        <w:ind w:left="5760" w:hanging="360"/>
      </w:pPr>
    </w:lvl>
    <w:lvl w:ilvl="8" w:tplc="68B8C2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E642C"/>
    <w:multiLevelType w:val="hybridMultilevel"/>
    <w:tmpl w:val="FFFFFFFF"/>
    <w:lvl w:ilvl="0" w:tplc="74D80468">
      <w:start w:val="1"/>
      <w:numFmt w:val="decimal"/>
      <w:lvlText w:val="%1."/>
      <w:lvlJc w:val="left"/>
      <w:pPr>
        <w:ind w:left="720" w:hanging="360"/>
      </w:pPr>
    </w:lvl>
    <w:lvl w:ilvl="1" w:tplc="61849A8A">
      <w:start w:val="1"/>
      <w:numFmt w:val="lowerLetter"/>
      <w:lvlText w:val="%2."/>
      <w:lvlJc w:val="left"/>
      <w:pPr>
        <w:ind w:left="1440" w:hanging="360"/>
      </w:pPr>
    </w:lvl>
    <w:lvl w:ilvl="2" w:tplc="13FE5962">
      <w:start w:val="1"/>
      <w:numFmt w:val="lowerRoman"/>
      <w:lvlText w:val="%3."/>
      <w:lvlJc w:val="right"/>
      <w:pPr>
        <w:ind w:left="2160" w:hanging="180"/>
      </w:pPr>
    </w:lvl>
    <w:lvl w:ilvl="3" w:tplc="749C09AE">
      <w:start w:val="1"/>
      <w:numFmt w:val="decimal"/>
      <w:lvlText w:val="%4."/>
      <w:lvlJc w:val="left"/>
      <w:pPr>
        <w:ind w:left="2880" w:hanging="360"/>
      </w:pPr>
    </w:lvl>
    <w:lvl w:ilvl="4" w:tplc="BF1048D4">
      <w:start w:val="1"/>
      <w:numFmt w:val="lowerLetter"/>
      <w:lvlText w:val="%5."/>
      <w:lvlJc w:val="left"/>
      <w:pPr>
        <w:ind w:left="3600" w:hanging="360"/>
      </w:pPr>
    </w:lvl>
    <w:lvl w:ilvl="5" w:tplc="3F10D2B8">
      <w:start w:val="1"/>
      <w:numFmt w:val="lowerRoman"/>
      <w:lvlText w:val="%6."/>
      <w:lvlJc w:val="right"/>
      <w:pPr>
        <w:ind w:left="4320" w:hanging="180"/>
      </w:pPr>
    </w:lvl>
    <w:lvl w:ilvl="6" w:tplc="7054DD4C">
      <w:start w:val="1"/>
      <w:numFmt w:val="decimal"/>
      <w:lvlText w:val="%7."/>
      <w:lvlJc w:val="left"/>
      <w:pPr>
        <w:ind w:left="5040" w:hanging="360"/>
      </w:pPr>
    </w:lvl>
    <w:lvl w:ilvl="7" w:tplc="684461EE">
      <w:start w:val="1"/>
      <w:numFmt w:val="lowerLetter"/>
      <w:lvlText w:val="%8."/>
      <w:lvlJc w:val="left"/>
      <w:pPr>
        <w:ind w:left="5760" w:hanging="360"/>
      </w:pPr>
    </w:lvl>
    <w:lvl w:ilvl="8" w:tplc="3FEA7132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1" w16cid:durableId="514996270">
    <w:abstractNumId w:val="0"/>
  </w:num>
  <w:num w:numId="2" w16cid:durableId="1334988202">
    <w:abstractNumId w:val="2"/>
  </w:num>
  <w:num w:numId="3" w16cid:durableId="599722561">
    <w:abstractNumId w:val="3"/>
  </w:num>
  <w:num w:numId="4" w16cid:durableId="1374233758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C5A0CB"/>
    <w:rsid w:val="00002510"/>
    <w:rsid w:val="000336C3"/>
    <w:rsid w:val="0004609B"/>
    <w:rsid w:val="000935B7"/>
    <w:rsid w:val="000940D6"/>
    <w:rsid w:val="000C5D67"/>
    <w:rsid w:val="001578D9"/>
    <w:rsid w:val="00191D01"/>
    <w:rsid w:val="002322EF"/>
    <w:rsid w:val="0025036D"/>
    <w:rsid w:val="002508EF"/>
    <w:rsid w:val="0025167E"/>
    <w:rsid w:val="00254391"/>
    <w:rsid w:val="002779E5"/>
    <w:rsid w:val="002F6941"/>
    <w:rsid w:val="00342A77"/>
    <w:rsid w:val="003A5968"/>
    <w:rsid w:val="00400C3B"/>
    <w:rsid w:val="0040134D"/>
    <w:rsid w:val="00411A20"/>
    <w:rsid w:val="00484EB1"/>
    <w:rsid w:val="00491763"/>
    <w:rsid w:val="004C715A"/>
    <w:rsid w:val="004D47F9"/>
    <w:rsid w:val="004F542F"/>
    <w:rsid w:val="004F569F"/>
    <w:rsid w:val="00537D5C"/>
    <w:rsid w:val="00540645"/>
    <w:rsid w:val="00592463"/>
    <w:rsid w:val="005D7FB0"/>
    <w:rsid w:val="006852EB"/>
    <w:rsid w:val="006B61EB"/>
    <w:rsid w:val="006C29A1"/>
    <w:rsid w:val="006C7B46"/>
    <w:rsid w:val="006E76EA"/>
    <w:rsid w:val="0071192E"/>
    <w:rsid w:val="007346F8"/>
    <w:rsid w:val="00794FFD"/>
    <w:rsid w:val="007F1685"/>
    <w:rsid w:val="007F5805"/>
    <w:rsid w:val="00814E66"/>
    <w:rsid w:val="0085198B"/>
    <w:rsid w:val="008D5BB0"/>
    <w:rsid w:val="008E1A64"/>
    <w:rsid w:val="008E7A51"/>
    <w:rsid w:val="00903C48"/>
    <w:rsid w:val="009204AD"/>
    <w:rsid w:val="00941B85"/>
    <w:rsid w:val="00A119D6"/>
    <w:rsid w:val="00A6047D"/>
    <w:rsid w:val="00A61D44"/>
    <w:rsid w:val="00AA02D5"/>
    <w:rsid w:val="00AA7121"/>
    <w:rsid w:val="00AE02BF"/>
    <w:rsid w:val="00B84B87"/>
    <w:rsid w:val="00B969AA"/>
    <w:rsid w:val="00BB05A6"/>
    <w:rsid w:val="00BB7A2D"/>
    <w:rsid w:val="00C0774D"/>
    <w:rsid w:val="00C169EC"/>
    <w:rsid w:val="00C80612"/>
    <w:rsid w:val="00C8533D"/>
    <w:rsid w:val="00C858C4"/>
    <w:rsid w:val="00CA62F1"/>
    <w:rsid w:val="00CB3705"/>
    <w:rsid w:val="00CB3E25"/>
    <w:rsid w:val="00CC7C41"/>
    <w:rsid w:val="00D64C00"/>
    <w:rsid w:val="00DE6BE0"/>
    <w:rsid w:val="00E23509"/>
    <w:rsid w:val="00E27E90"/>
    <w:rsid w:val="00E436E4"/>
    <w:rsid w:val="00E677A8"/>
    <w:rsid w:val="00EE31E3"/>
    <w:rsid w:val="00EF40D9"/>
    <w:rsid w:val="00F409B9"/>
    <w:rsid w:val="00F540C8"/>
    <w:rsid w:val="00FD3CCA"/>
    <w:rsid w:val="0146C438"/>
    <w:rsid w:val="026CFBCD"/>
    <w:rsid w:val="028929F0"/>
    <w:rsid w:val="04A64AF3"/>
    <w:rsid w:val="05037750"/>
    <w:rsid w:val="07127011"/>
    <w:rsid w:val="0724C946"/>
    <w:rsid w:val="07833093"/>
    <w:rsid w:val="0784E509"/>
    <w:rsid w:val="08AE4072"/>
    <w:rsid w:val="0A3EC2EC"/>
    <w:rsid w:val="0AAAE552"/>
    <w:rsid w:val="0B9041E7"/>
    <w:rsid w:val="0CE75EFD"/>
    <w:rsid w:val="1014CC2C"/>
    <w:rsid w:val="11BAD020"/>
    <w:rsid w:val="1327CFC8"/>
    <w:rsid w:val="144EF4C4"/>
    <w:rsid w:val="15627F8D"/>
    <w:rsid w:val="15671F44"/>
    <w:rsid w:val="15D51089"/>
    <w:rsid w:val="1608C693"/>
    <w:rsid w:val="177232A2"/>
    <w:rsid w:val="181CBEB3"/>
    <w:rsid w:val="18E607AA"/>
    <w:rsid w:val="19B88F14"/>
    <w:rsid w:val="19BB5317"/>
    <w:rsid w:val="1AB5299E"/>
    <w:rsid w:val="1B136AA6"/>
    <w:rsid w:val="1B545F75"/>
    <w:rsid w:val="1BD81A05"/>
    <w:rsid w:val="1C37D1A2"/>
    <w:rsid w:val="1DB1F0E9"/>
    <w:rsid w:val="1E158B2C"/>
    <w:rsid w:val="1F6F7264"/>
    <w:rsid w:val="1F7BF21C"/>
    <w:rsid w:val="2042E8F6"/>
    <w:rsid w:val="20E46A9F"/>
    <w:rsid w:val="226E0477"/>
    <w:rsid w:val="22C39E58"/>
    <w:rsid w:val="22CC1568"/>
    <w:rsid w:val="23896817"/>
    <w:rsid w:val="254FCED7"/>
    <w:rsid w:val="261415A5"/>
    <w:rsid w:val="2627E28D"/>
    <w:rsid w:val="26DEF746"/>
    <w:rsid w:val="27F8529F"/>
    <w:rsid w:val="287AC7A7"/>
    <w:rsid w:val="29207222"/>
    <w:rsid w:val="293AFF38"/>
    <w:rsid w:val="293E0458"/>
    <w:rsid w:val="2A169808"/>
    <w:rsid w:val="2AEA7355"/>
    <w:rsid w:val="2BD1518F"/>
    <w:rsid w:val="2C451DD5"/>
    <w:rsid w:val="2CA49617"/>
    <w:rsid w:val="2CD34BA6"/>
    <w:rsid w:val="2DEE4127"/>
    <w:rsid w:val="2EEFC594"/>
    <w:rsid w:val="2F8D83B4"/>
    <w:rsid w:val="2FB65C94"/>
    <w:rsid w:val="32C8B921"/>
    <w:rsid w:val="330D1A00"/>
    <w:rsid w:val="3366E233"/>
    <w:rsid w:val="33BBAED3"/>
    <w:rsid w:val="3408C97E"/>
    <w:rsid w:val="3585B006"/>
    <w:rsid w:val="38F9B7B4"/>
    <w:rsid w:val="39078B7D"/>
    <w:rsid w:val="395ADC9A"/>
    <w:rsid w:val="3A2CE52E"/>
    <w:rsid w:val="3A5041AF"/>
    <w:rsid w:val="3ADA899C"/>
    <w:rsid w:val="3B100C89"/>
    <w:rsid w:val="3B34B37E"/>
    <w:rsid w:val="3BEC1210"/>
    <w:rsid w:val="3C41B15D"/>
    <w:rsid w:val="3D0B7DAC"/>
    <w:rsid w:val="3E3EF72A"/>
    <w:rsid w:val="3E4715D3"/>
    <w:rsid w:val="3EC52FDA"/>
    <w:rsid w:val="3F79521F"/>
    <w:rsid w:val="407A279D"/>
    <w:rsid w:val="410406F0"/>
    <w:rsid w:val="4142DAB4"/>
    <w:rsid w:val="44A6FBAF"/>
    <w:rsid w:val="455CF184"/>
    <w:rsid w:val="45C01A7E"/>
    <w:rsid w:val="45E893A3"/>
    <w:rsid w:val="46778EFB"/>
    <w:rsid w:val="46F11843"/>
    <w:rsid w:val="487FE1AC"/>
    <w:rsid w:val="488CE8A4"/>
    <w:rsid w:val="48FB349A"/>
    <w:rsid w:val="490A39CF"/>
    <w:rsid w:val="4ADD828E"/>
    <w:rsid w:val="4B10F9C7"/>
    <w:rsid w:val="4C70EFAF"/>
    <w:rsid w:val="4D28EA9C"/>
    <w:rsid w:val="4E3C895C"/>
    <w:rsid w:val="4EED3F43"/>
    <w:rsid w:val="4EF8957D"/>
    <w:rsid w:val="4F649A84"/>
    <w:rsid w:val="5063B2A8"/>
    <w:rsid w:val="516FD02C"/>
    <w:rsid w:val="55C35D5F"/>
    <w:rsid w:val="560CF581"/>
    <w:rsid w:val="574CFF60"/>
    <w:rsid w:val="57FA0D79"/>
    <w:rsid w:val="57FCADC1"/>
    <w:rsid w:val="58694AF6"/>
    <w:rsid w:val="58B1F4F8"/>
    <w:rsid w:val="5A269B21"/>
    <w:rsid w:val="5AEEA65A"/>
    <w:rsid w:val="5AF73F20"/>
    <w:rsid w:val="5B31AE3B"/>
    <w:rsid w:val="5B4356F1"/>
    <w:rsid w:val="5BC26B82"/>
    <w:rsid w:val="5D5E3BE3"/>
    <w:rsid w:val="5D6A114F"/>
    <w:rsid w:val="5E86C985"/>
    <w:rsid w:val="5EBD3A09"/>
    <w:rsid w:val="5FAA0738"/>
    <w:rsid w:val="6095DCA5"/>
    <w:rsid w:val="60A26F2F"/>
    <w:rsid w:val="61397D30"/>
    <w:rsid w:val="61B3B557"/>
    <w:rsid w:val="61C5A0CB"/>
    <w:rsid w:val="621C04AA"/>
    <w:rsid w:val="62529F29"/>
    <w:rsid w:val="6288B80A"/>
    <w:rsid w:val="63178252"/>
    <w:rsid w:val="63EDAC9B"/>
    <w:rsid w:val="6424886B"/>
    <w:rsid w:val="64BF21DB"/>
    <w:rsid w:val="657B0BDD"/>
    <w:rsid w:val="65897CFC"/>
    <w:rsid w:val="65B0B96F"/>
    <w:rsid w:val="684B9985"/>
    <w:rsid w:val="6890AE96"/>
    <w:rsid w:val="699A8964"/>
    <w:rsid w:val="6A2F4717"/>
    <w:rsid w:val="6AF24DAC"/>
    <w:rsid w:val="6BBF868F"/>
    <w:rsid w:val="6BCAD476"/>
    <w:rsid w:val="6BD04277"/>
    <w:rsid w:val="6C743E7A"/>
    <w:rsid w:val="6C8D289F"/>
    <w:rsid w:val="6CC2B624"/>
    <w:rsid w:val="6D2E51A1"/>
    <w:rsid w:val="6E86FC56"/>
    <w:rsid w:val="6EE1717C"/>
    <w:rsid w:val="6F5CADA5"/>
    <w:rsid w:val="7003F301"/>
    <w:rsid w:val="709E4599"/>
    <w:rsid w:val="719E7514"/>
    <w:rsid w:val="71BF010F"/>
    <w:rsid w:val="723A15FA"/>
    <w:rsid w:val="72757D9D"/>
    <w:rsid w:val="72B6B08B"/>
    <w:rsid w:val="7571B6BC"/>
    <w:rsid w:val="768D12C8"/>
    <w:rsid w:val="78160BBD"/>
    <w:rsid w:val="798C3529"/>
    <w:rsid w:val="79AE4773"/>
    <w:rsid w:val="79D66035"/>
    <w:rsid w:val="79EC2E93"/>
    <w:rsid w:val="7BC53103"/>
    <w:rsid w:val="7BE94DAB"/>
    <w:rsid w:val="7CB20DB5"/>
    <w:rsid w:val="7CC6DD99"/>
    <w:rsid w:val="7CEA3FCF"/>
    <w:rsid w:val="7D1BC624"/>
    <w:rsid w:val="7D72A075"/>
    <w:rsid w:val="7E651E0D"/>
    <w:rsid w:val="7F0E70D6"/>
    <w:rsid w:val="7FF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5A0CB"/>
  <w15:chartTrackingRefBased/>
  <w15:docId w15:val="{CBC8887F-EFA2-4E15-AC27-F89E9CE1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98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5198B"/>
    <w:rPr>
      <w:b/>
      <w:bCs/>
      <w:sz w:val="20"/>
      <w:szCs w:val="20"/>
    </w:rPr>
  </w:style>
  <w:style w:type="character" w:styleId="normaltextrun" w:customStyle="1">
    <w:name w:val="normaltextrun"/>
    <w:basedOn w:val="DefaultParagraphFont"/>
    <w:rsid w:val="00540645"/>
  </w:style>
  <w:style w:type="character" w:styleId="eop" w:customStyle="1">
    <w:name w:val="eop"/>
    <w:basedOn w:val="DefaultParagraphFont"/>
    <w:rsid w:val="00540645"/>
  </w:style>
  <w:style w:type="paragraph" w:styleId="Revision">
    <w:name w:val="Revision"/>
    <w:hidden/>
    <w:uiPriority w:val="99"/>
    <w:semiHidden/>
    <w:rsid w:val="00A61D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16/09/relationships/commentsIds" Target="commentsId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microsoft.com/office/2011/relationships/commentsExtended" Target="commentsExtended.xml" Id="rId6" /><Relationship Type="http://schemas.openxmlformats.org/officeDocument/2006/relationships/theme" Target="theme/theme1.xml" Id="rId11" /><Relationship Type="http://schemas.microsoft.com/office/2011/relationships/people" Target="people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Olivia Jerram</dc:creator>
  <keywords/>
  <dc:description/>
  <lastModifiedBy>Olivia Jerram</lastModifiedBy>
  <revision>3</revision>
  <dcterms:created xsi:type="dcterms:W3CDTF">2022-05-11T20:41:00.0000000Z</dcterms:created>
  <dcterms:modified xsi:type="dcterms:W3CDTF">2022-05-11T20:44:37.6819553Z</dcterms:modified>
</coreProperties>
</file>